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1230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Style w:val="cat-User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дома 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5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времени с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предпринимательскую деятельность без государственной регистрации в качестве индивидуального предпринимателя на автомобиле «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CarNumbergrp-29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перевозе пассажиров,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за оказанные услуги брал с пассажиров денежные средства, пользуясь мобильным приложением «Яндекс Про»,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осуществлял предпринимательскую деятельность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Рагимов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 надлежащим образом о времени и месте судебного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обстоятельствах, суд рассматривает дела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Рагимов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Рагимов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№ </w:t>
      </w:r>
      <w:r>
        <w:rPr>
          <w:rFonts w:ascii="Times New Roman" w:eastAsia="Times New Roman" w:hAnsi="Times New Roman" w:cs="Times New Roman"/>
          <w:sz w:val="26"/>
          <w:szCs w:val="26"/>
        </w:rPr>
        <w:t>2729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госинспектора БДД ОТН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УМВД России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копия договора аренды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Еременко Т.В.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скриншоты сайта ФНС России.</w:t>
      </w:r>
    </w:p>
    <w:p>
      <w:pPr>
        <w:spacing w:before="0" w:after="0" w:line="3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КоАП РФ, как осуществление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считает возможным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4rplc-4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Ханты-Мансийскому автономному округу-Югре </w:t>
      </w:r>
      <w:r>
        <w:rPr>
          <w:rStyle w:val="cat-Addressgrp-7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0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1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2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3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4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5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</w:rPr>
        <w:t>0412365400575012302414183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105 дома 9 по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5rplc-5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9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5rplc-5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1230</w:t>
      </w:r>
      <w:r>
        <w:rPr>
          <w:rFonts w:ascii="Times New Roman" w:eastAsia="Times New Roman" w:hAnsi="Times New Roman" w:cs="Times New Roman"/>
          <w:sz w:val="18"/>
          <w:szCs w:val="18"/>
        </w:rPr>
        <w:t>-260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40rplc-6">
    <w:name w:val="cat-UserDefined grp-40 rplc-6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PassportDatagrp-27rplc-17">
    <w:name w:val="cat-PassportData grp-27 rplc-17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ExternalSystemDefinedgrp-36rplc-19">
    <w:name w:val="cat-ExternalSystemDefined grp-36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8rplc-21">
    <w:name w:val="cat-Time grp-28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CarNumbergrp-29rplc-28">
    <w:name w:val="cat-CarNumber grp-29 rplc-28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Sumgrp-24rplc-41">
    <w:name w:val="cat-Sum grp-24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SumInWordsgrp-25rplc-52">
    <w:name w:val="cat-SumInWords grp-25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Dategrp-15rplc-56">
    <w:name w:val="cat-Date grp-1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